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54" w:rsidRPr="00625A57" w:rsidRDefault="00163E54" w:rsidP="00163E54">
      <w:r w:rsidRPr="00625A57">
        <w:t>This i</w:t>
      </w:r>
      <w:r w:rsidR="00D95F38">
        <w:t>nterim update is based on the 118</w:t>
      </w:r>
      <w:r w:rsidRPr="00625A57">
        <w:t xml:space="preserve"> </w:t>
      </w:r>
      <w:r w:rsidR="00D95F38">
        <w:t xml:space="preserve">(78%) financial </w:t>
      </w:r>
      <w:r w:rsidRPr="00625A57">
        <w:t>responses received to date.</w:t>
      </w:r>
    </w:p>
    <w:p w:rsidR="00163E54" w:rsidRPr="00E33A31" w:rsidRDefault="00163E54" w:rsidP="00E33A31">
      <w:pPr>
        <w:pStyle w:val="NoSpacing"/>
        <w:rPr>
          <w:b/>
          <w:u w:val="single"/>
        </w:rPr>
      </w:pPr>
      <w:r w:rsidRPr="00E33A31">
        <w:rPr>
          <w:b/>
          <w:u w:val="single"/>
        </w:rPr>
        <w:t>Finance</w:t>
      </w:r>
    </w:p>
    <w:p w:rsidR="005655B4" w:rsidRDefault="00D95F38" w:rsidP="00163E54">
      <w:pPr>
        <w:pStyle w:val="ListParagraph"/>
        <w:numPr>
          <w:ilvl w:val="0"/>
          <w:numId w:val="2"/>
        </w:numPr>
      </w:pPr>
      <w:r>
        <w:t>These 118</w:t>
      </w:r>
      <w:r w:rsidR="00163E54" w:rsidRPr="00625A57">
        <w:t xml:space="preserve"> (</w:t>
      </w:r>
      <w:r>
        <w:t>78%</w:t>
      </w:r>
      <w:r w:rsidR="00163E54" w:rsidRPr="00625A57">
        <w:t xml:space="preserve"> of </w:t>
      </w:r>
      <w:r>
        <w:t>LAs</w:t>
      </w:r>
      <w:r w:rsidR="00163E54" w:rsidRPr="00625A57">
        <w:t>) r</w:t>
      </w:r>
      <w:r w:rsidR="005655B4">
        <w:t>esponses account for £62,977,170</w:t>
      </w:r>
      <w:r w:rsidR="0016065C">
        <w:t xml:space="preserve"> </w:t>
      </w:r>
      <w:r w:rsidR="005655B4">
        <w:t>(81.8%</w:t>
      </w:r>
      <w:r w:rsidR="00163E54" w:rsidRPr="00625A57">
        <w:t xml:space="preserve">) of the </w:t>
      </w:r>
      <w:r w:rsidR="005655B4">
        <w:t>£77m Music Education Grant. Based on past experience, c</w:t>
      </w:r>
      <w:r w:rsidR="00163E54" w:rsidRPr="00625A57">
        <w:t xml:space="preserve">onclusions </w:t>
      </w:r>
      <w:r w:rsidR="005655B4">
        <w:t>will be reasonably secure.</w:t>
      </w:r>
    </w:p>
    <w:p w:rsidR="00791FE0" w:rsidRPr="00625A57" w:rsidRDefault="005655B4" w:rsidP="00163E54">
      <w:pPr>
        <w:pStyle w:val="ListParagraph"/>
        <w:numPr>
          <w:ilvl w:val="0"/>
          <w:numId w:val="2"/>
        </w:numPr>
      </w:pPr>
      <w:r w:rsidRPr="00625A57">
        <w:t xml:space="preserve"> </w:t>
      </w:r>
      <w:r>
        <w:t>The total budgets in these 118</w:t>
      </w:r>
      <w:r w:rsidR="00791FE0" w:rsidRPr="00625A57">
        <w:t xml:space="preserve"> </w:t>
      </w:r>
      <w:r w:rsidR="004C30E8">
        <w:t>Services</w:t>
      </w:r>
      <w:r w:rsidR="00482A52">
        <w:t xml:space="preserve"> account for £167</w:t>
      </w:r>
      <w:r>
        <w:t>,</w:t>
      </w:r>
      <w:r w:rsidR="00482A52">
        <w:t>125,812</w:t>
      </w:r>
      <w:r w:rsidR="00791FE0" w:rsidRPr="00625A57">
        <w:t>.</w:t>
      </w:r>
    </w:p>
    <w:p w:rsidR="008E6DB8" w:rsidRPr="00625A57" w:rsidRDefault="005655B4" w:rsidP="00163E54">
      <w:pPr>
        <w:pStyle w:val="ListParagraph"/>
        <w:numPr>
          <w:ilvl w:val="0"/>
          <w:numId w:val="2"/>
        </w:numPr>
      </w:pPr>
      <w:r>
        <w:t>The MEG accounts for 37.7</w:t>
      </w:r>
      <w:r w:rsidR="008E6DB8" w:rsidRPr="00625A57">
        <w:t>% of the total music service budgets.</w:t>
      </w:r>
      <w:r>
        <w:t xml:space="preserve"> (</w:t>
      </w:r>
      <w:r w:rsidR="00575349">
        <w:t>37.6% in</w:t>
      </w:r>
      <w:r>
        <w:t xml:space="preserve"> 2010/11) </w:t>
      </w:r>
    </w:p>
    <w:p w:rsidR="0067423F" w:rsidRPr="007F7AB5" w:rsidRDefault="007F7AB5" w:rsidP="00163E54">
      <w:pPr>
        <w:pStyle w:val="ListParagraph"/>
        <w:numPr>
          <w:ilvl w:val="0"/>
          <w:numId w:val="2"/>
        </w:numPr>
      </w:pPr>
      <w:r w:rsidRPr="007F7AB5">
        <w:t>In</w:t>
      </w:r>
      <w:r w:rsidR="00575349">
        <w:t xml:space="preserve"> </w:t>
      </w:r>
      <w:r w:rsidRPr="007F7AB5">
        <w:t>5</w:t>
      </w:r>
      <w:r w:rsidR="0067423F" w:rsidRPr="007F7AB5">
        <w:t xml:space="preserve">9 </w:t>
      </w:r>
      <w:r w:rsidR="004C30E8" w:rsidRPr="007F7AB5">
        <w:t>Services</w:t>
      </w:r>
      <w:r w:rsidR="0067423F" w:rsidRPr="007F7AB5">
        <w:t xml:space="preserve"> the MEG contribution accounts for less than the averag</w:t>
      </w:r>
      <w:r>
        <w:t>e. In 59</w:t>
      </w:r>
      <w:r w:rsidR="0067423F" w:rsidRPr="007F7AB5">
        <w:t xml:space="preserve"> </w:t>
      </w:r>
      <w:r w:rsidR="004C30E8" w:rsidRPr="007F7AB5">
        <w:t>Services</w:t>
      </w:r>
      <w:r w:rsidR="0067423F" w:rsidRPr="007F7AB5">
        <w:t xml:space="preserve"> the MEG accounts for more than the average contribution.</w:t>
      </w:r>
    </w:p>
    <w:p w:rsidR="00034A1B" w:rsidRPr="007F7AB5" w:rsidRDefault="00034A1B" w:rsidP="00163E54">
      <w:pPr>
        <w:pStyle w:val="ListParagraph"/>
        <w:numPr>
          <w:ilvl w:val="0"/>
          <w:numId w:val="2"/>
        </w:numPr>
      </w:pPr>
      <w:r w:rsidRPr="007F7AB5">
        <w:t>The lowest contribution by the MEG is 15%</w:t>
      </w:r>
      <w:r w:rsidR="00575349">
        <w:t>. The highest contribution by the MEG is</w:t>
      </w:r>
      <w:r w:rsidR="00D7217A">
        <w:t xml:space="preserve"> 100%</w:t>
      </w:r>
      <w:r w:rsidR="00F26EDA" w:rsidRPr="007F7AB5">
        <w:t>.</w:t>
      </w:r>
    </w:p>
    <w:p w:rsidR="000963B5" w:rsidRPr="00625A57" w:rsidRDefault="005655B4" w:rsidP="00163E54">
      <w:pPr>
        <w:pStyle w:val="ListParagraph"/>
        <w:numPr>
          <w:ilvl w:val="0"/>
          <w:numId w:val="2"/>
        </w:numPr>
      </w:pPr>
      <w:r>
        <w:t>62</w:t>
      </w:r>
      <w:r w:rsidR="000963B5" w:rsidRPr="00625A57">
        <w:t xml:space="preserve"> </w:t>
      </w:r>
      <w:r w:rsidR="004C30E8">
        <w:t>LAs</w:t>
      </w:r>
      <w:r w:rsidR="00E07462">
        <w:t xml:space="preserve"> do not make a contribution. 56</w:t>
      </w:r>
      <w:r w:rsidR="000963B5" w:rsidRPr="00625A57">
        <w:t xml:space="preserve"> </w:t>
      </w:r>
      <w:r w:rsidR="004C30E8">
        <w:t>LAs</w:t>
      </w:r>
      <w:r w:rsidR="000963B5" w:rsidRPr="00625A57">
        <w:t xml:space="preserve"> contribute a total of £</w:t>
      </w:r>
      <w:r w:rsidR="00E07462">
        <w:t>10,235,281</w:t>
      </w:r>
      <w:r w:rsidR="008E6DB8" w:rsidRPr="00625A57">
        <w:t>.</w:t>
      </w:r>
      <w:r w:rsidR="00F51712" w:rsidRPr="00625A57">
        <w:t xml:space="preserve"> </w:t>
      </w:r>
      <w:r w:rsidR="00575349">
        <w:t>(In 2010 56 LAs did not contribute and 92 made a contribution. Of the 34 still to report</w:t>
      </w:r>
      <w:r w:rsidR="00152C0E">
        <w:t xml:space="preserve"> this year</w:t>
      </w:r>
      <w:r w:rsidR="00575349">
        <w:t xml:space="preserve">, 19 made a contribution in 2010). </w:t>
      </w:r>
    </w:p>
    <w:p w:rsidR="003F0C97" w:rsidRDefault="004C30E8" w:rsidP="003F0C97">
      <w:pPr>
        <w:pStyle w:val="ListParagraph"/>
        <w:numPr>
          <w:ilvl w:val="0"/>
          <w:numId w:val="2"/>
        </w:numPr>
      </w:pPr>
      <w:r w:rsidRPr="0016065C">
        <w:t>LAs</w:t>
      </w:r>
      <w:r w:rsidR="00F51712" w:rsidRPr="0016065C">
        <w:t xml:space="preserve"> contribut</w:t>
      </w:r>
      <w:r w:rsidR="00E07462" w:rsidRPr="0016065C">
        <w:t>e 6.1</w:t>
      </w:r>
      <w:r w:rsidR="00F51712" w:rsidRPr="0016065C">
        <w:t>% of the total.</w:t>
      </w:r>
      <w:r w:rsidR="00E07462" w:rsidRPr="0016065C">
        <w:t xml:space="preserve"> (Down from </w:t>
      </w:r>
      <w:r w:rsidR="003F0C97">
        <w:t>10.5% in 2010).</w:t>
      </w:r>
    </w:p>
    <w:p w:rsidR="00F51712" w:rsidRPr="00625A57" w:rsidRDefault="003F0C97" w:rsidP="003F0C97">
      <w:pPr>
        <w:pStyle w:val="ListParagraph"/>
        <w:numPr>
          <w:ilvl w:val="0"/>
          <w:numId w:val="2"/>
        </w:numPr>
      </w:pPr>
      <w:r>
        <w:t>£2,866,107</w:t>
      </w:r>
      <w:r w:rsidR="00F51712" w:rsidRPr="00625A57">
        <w:t xml:space="preserve"> is contribute</w:t>
      </w:r>
      <w:r>
        <w:t>d centrally through the DSG in 20 LAs</w:t>
      </w:r>
      <w:r w:rsidR="00F51712" w:rsidRPr="00625A57">
        <w:t>.</w:t>
      </w:r>
    </w:p>
    <w:p w:rsidR="00F51712" w:rsidRPr="00625A57" w:rsidRDefault="00330C08" w:rsidP="00163E54">
      <w:pPr>
        <w:pStyle w:val="ListParagraph"/>
        <w:numPr>
          <w:ilvl w:val="0"/>
          <w:numId w:val="2"/>
        </w:numPr>
      </w:pPr>
      <w:r>
        <w:t xml:space="preserve">DSG </w:t>
      </w:r>
      <w:r w:rsidR="008954BD">
        <w:t xml:space="preserve">money </w:t>
      </w:r>
      <w:r>
        <w:t>accounts for 1.7</w:t>
      </w:r>
      <w:r w:rsidR="00F51712" w:rsidRPr="00625A57">
        <w:t>% of the total.</w:t>
      </w:r>
    </w:p>
    <w:p w:rsidR="00F51712" w:rsidRPr="00625A57" w:rsidRDefault="00F51712" w:rsidP="00163E54">
      <w:pPr>
        <w:pStyle w:val="ListParagraph"/>
        <w:numPr>
          <w:ilvl w:val="0"/>
          <w:numId w:val="2"/>
        </w:numPr>
      </w:pPr>
      <w:r w:rsidRPr="00625A57">
        <w:t>Parents contribute £</w:t>
      </w:r>
      <w:r w:rsidR="00482A52">
        <w:t>29,295,</w:t>
      </w:r>
      <w:r w:rsidR="00A92D71">
        <w:t>7</w:t>
      </w:r>
      <w:r w:rsidR="00482A52">
        <w:t>92</w:t>
      </w:r>
      <w:r w:rsidR="00A92D71">
        <w:t xml:space="preserve"> </w:t>
      </w:r>
      <w:r w:rsidRPr="00625A57">
        <w:t>(</w:t>
      </w:r>
      <w:r w:rsidR="00A92D71">
        <w:t>17.5</w:t>
      </w:r>
      <w:r w:rsidRPr="00625A57">
        <w:t>%).</w:t>
      </w:r>
    </w:p>
    <w:p w:rsidR="00482A52" w:rsidRDefault="00F51712" w:rsidP="00163E54">
      <w:pPr>
        <w:pStyle w:val="ListParagraph"/>
        <w:numPr>
          <w:ilvl w:val="0"/>
          <w:numId w:val="2"/>
        </w:numPr>
      </w:pPr>
      <w:r w:rsidRPr="00625A57">
        <w:t xml:space="preserve">Schools </w:t>
      </w:r>
      <w:r w:rsidR="00482A52">
        <w:t>(mostly fees from parents</w:t>
      </w:r>
      <w:r w:rsidR="001D6B11">
        <w:t xml:space="preserve"> collected by the schools</w:t>
      </w:r>
      <w:r w:rsidR="00482A52">
        <w:t xml:space="preserve">) </w:t>
      </w:r>
      <w:r w:rsidRPr="00625A57">
        <w:t>contribute £</w:t>
      </w:r>
      <w:r w:rsidR="00A92D71">
        <w:t>56,</w:t>
      </w:r>
      <w:r w:rsidR="00482A52">
        <w:t>6</w:t>
      </w:r>
      <w:r w:rsidR="00A92D71">
        <w:t>4</w:t>
      </w:r>
      <w:r w:rsidR="00482A52">
        <w:t>0</w:t>
      </w:r>
      <w:r w:rsidR="00A92D71">
        <w:t>,013</w:t>
      </w:r>
      <w:r w:rsidRPr="00625A57">
        <w:t xml:space="preserve"> (3</w:t>
      </w:r>
      <w:r w:rsidR="00482A52">
        <w:t>3.9</w:t>
      </w:r>
      <w:r w:rsidRPr="00625A57">
        <w:t xml:space="preserve">%). </w:t>
      </w:r>
    </w:p>
    <w:p w:rsidR="00F51712" w:rsidRPr="00625A57" w:rsidRDefault="00482A52" w:rsidP="00163E54">
      <w:pPr>
        <w:pStyle w:val="ListParagraph"/>
        <w:numPr>
          <w:ilvl w:val="0"/>
          <w:numId w:val="2"/>
        </w:numPr>
      </w:pPr>
      <w:r>
        <w:t>T</w:t>
      </w:r>
      <w:r w:rsidR="00F51712" w:rsidRPr="00625A57">
        <w:t>ot</w:t>
      </w:r>
      <w:r w:rsidR="00A92D71">
        <w:t>al</w:t>
      </w:r>
      <w:r>
        <w:t xml:space="preserve"> contribution by parents is </w:t>
      </w:r>
      <w:proofErr w:type="gramStart"/>
      <w:r>
        <w:t>over  50</w:t>
      </w:r>
      <w:proofErr w:type="gramEnd"/>
      <w:r w:rsidR="00F51712" w:rsidRPr="00625A57">
        <w:t>%.</w:t>
      </w:r>
    </w:p>
    <w:p w:rsidR="00F51712" w:rsidRPr="00625A57" w:rsidRDefault="00F51712" w:rsidP="00163E54">
      <w:pPr>
        <w:pStyle w:val="ListParagraph"/>
        <w:numPr>
          <w:ilvl w:val="0"/>
          <w:numId w:val="2"/>
        </w:numPr>
      </w:pPr>
      <w:r w:rsidRPr="00625A57">
        <w:t>Othe</w:t>
      </w:r>
      <w:r w:rsidR="00A92D71">
        <w:t>r income accounts for £5,111,449</w:t>
      </w:r>
      <w:r w:rsidRPr="00625A57">
        <w:t>, which represents</w:t>
      </w:r>
      <w:r w:rsidR="00A92D71">
        <w:t xml:space="preserve"> 3.0</w:t>
      </w:r>
      <w:r w:rsidRPr="00625A57">
        <w:t>6% of the total.</w:t>
      </w:r>
    </w:p>
    <w:p w:rsidR="00F51712" w:rsidRPr="00625A57" w:rsidRDefault="00F51712" w:rsidP="00163E54">
      <w:pPr>
        <w:pStyle w:val="ListParagraph"/>
        <w:numPr>
          <w:ilvl w:val="0"/>
          <w:numId w:val="2"/>
        </w:numPr>
      </w:pPr>
      <w:r w:rsidRPr="00625A57">
        <w:t>Direct income from parents, schools and other sources therefore accounts for £</w:t>
      </w:r>
      <w:r w:rsidR="00A92D71">
        <w:t>9</w:t>
      </w:r>
      <w:r w:rsidR="00187B0A">
        <w:t>1,</w:t>
      </w:r>
      <w:r w:rsidR="00A92D71">
        <w:t>0</w:t>
      </w:r>
      <w:r w:rsidR="00187B0A">
        <w:t>4</w:t>
      </w:r>
      <w:r w:rsidR="00A92D71">
        <w:t>7</w:t>
      </w:r>
      <w:r w:rsidR="00187B0A">
        <w:t>,2</w:t>
      </w:r>
      <w:r w:rsidR="00A92D71">
        <w:t>5</w:t>
      </w:r>
      <w:r w:rsidR="00187B0A">
        <w:t>4</w:t>
      </w:r>
      <w:r w:rsidR="00A92D71">
        <w:t xml:space="preserve"> </w:t>
      </w:r>
      <w:r w:rsidR="00187B0A">
        <w:t>(5</w:t>
      </w:r>
      <w:r w:rsidR="00A92D71">
        <w:t>4.4</w:t>
      </w:r>
      <w:r w:rsidRPr="00625A57">
        <w:t>%).</w:t>
      </w:r>
      <w:r w:rsidR="00A92D71">
        <w:t xml:space="preserve"> In 2010/2011 this was 51.9%.</w:t>
      </w:r>
    </w:p>
    <w:p w:rsidR="00F51712" w:rsidRPr="00625A57" w:rsidRDefault="00A92D71" w:rsidP="00163E54">
      <w:pPr>
        <w:pStyle w:val="ListParagraph"/>
        <w:numPr>
          <w:ilvl w:val="0"/>
          <w:numId w:val="2"/>
        </w:numPr>
      </w:pPr>
      <w:r>
        <w:t>20</w:t>
      </w:r>
      <w:r w:rsidR="00F51712" w:rsidRPr="00625A57">
        <w:t xml:space="preserve"> </w:t>
      </w:r>
      <w:r w:rsidR="004C30E8">
        <w:t>Services</w:t>
      </w:r>
      <w:r>
        <w:t xml:space="preserve"> (17</w:t>
      </w:r>
      <w:r w:rsidR="00F51712" w:rsidRPr="00625A57">
        <w:t>%) do not collect any income from parents.</w:t>
      </w:r>
    </w:p>
    <w:p w:rsidR="00F51712" w:rsidRPr="00625A57" w:rsidRDefault="00A92D71" w:rsidP="00163E54">
      <w:pPr>
        <w:pStyle w:val="ListParagraph"/>
        <w:numPr>
          <w:ilvl w:val="0"/>
          <w:numId w:val="2"/>
        </w:numPr>
      </w:pPr>
      <w:r>
        <w:t>9</w:t>
      </w:r>
      <w:r w:rsidR="00F51712" w:rsidRPr="00625A57">
        <w:t xml:space="preserve"> </w:t>
      </w:r>
      <w:r w:rsidR="004C30E8">
        <w:t>Services</w:t>
      </w:r>
      <w:r>
        <w:t xml:space="preserve"> (8</w:t>
      </w:r>
      <w:r w:rsidR="00F51712" w:rsidRPr="00625A57">
        <w:t>%) do not collect any income from schools</w:t>
      </w:r>
      <w:r w:rsidR="005013D8">
        <w:t xml:space="preserve"> (parents)</w:t>
      </w:r>
      <w:r w:rsidR="00F51712" w:rsidRPr="00625A57">
        <w:t>.</w:t>
      </w:r>
    </w:p>
    <w:p w:rsidR="00F51712" w:rsidRPr="00625A57" w:rsidRDefault="00A92D71" w:rsidP="00163E54">
      <w:pPr>
        <w:pStyle w:val="ListParagraph"/>
        <w:numPr>
          <w:ilvl w:val="0"/>
          <w:numId w:val="2"/>
        </w:numPr>
      </w:pPr>
      <w:r>
        <w:t>38</w:t>
      </w:r>
      <w:r w:rsidR="00AF2F89" w:rsidRPr="00625A57">
        <w:t xml:space="preserve"> </w:t>
      </w:r>
      <w:r w:rsidR="004C30E8">
        <w:t>Services</w:t>
      </w:r>
      <w:r>
        <w:t xml:space="preserve"> (32</w:t>
      </w:r>
      <w:r w:rsidR="00AF2F89" w:rsidRPr="00625A57">
        <w:t>%) do not access any other income sources.</w:t>
      </w:r>
    </w:p>
    <w:p w:rsidR="00AF2F89" w:rsidRDefault="00430605" w:rsidP="00163E54">
      <w:pPr>
        <w:pStyle w:val="ListParagraph"/>
        <w:numPr>
          <w:ilvl w:val="0"/>
          <w:numId w:val="2"/>
        </w:numPr>
      </w:pPr>
      <w:r>
        <w:t xml:space="preserve">67 </w:t>
      </w:r>
      <w:r w:rsidR="0030722F">
        <w:t xml:space="preserve">(57%) </w:t>
      </w:r>
      <w:r>
        <w:t>Services access income from all three sources.</w:t>
      </w:r>
    </w:p>
    <w:p w:rsidR="00430605" w:rsidRDefault="00D97965" w:rsidP="00163E54">
      <w:pPr>
        <w:pStyle w:val="ListParagraph"/>
        <w:numPr>
          <w:ilvl w:val="0"/>
          <w:numId w:val="2"/>
        </w:numPr>
      </w:pPr>
      <w:r>
        <w:t>37</w:t>
      </w:r>
      <w:r w:rsidR="00430605">
        <w:t xml:space="preserve"> </w:t>
      </w:r>
      <w:r w:rsidR="0030722F">
        <w:t xml:space="preserve">(31%) </w:t>
      </w:r>
      <w:r w:rsidR="00430605">
        <w:t>Services access income from two of the three sources.</w:t>
      </w:r>
    </w:p>
    <w:p w:rsidR="00430605" w:rsidRDefault="00430605" w:rsidP="00163E54">
      <w:pPr>
        <w:pStyle w:val="ListParagraph"/>
        <w:numPr>
          <w:ilvl w:val="0"/>
          <w:numId w:val="2"/>
        </w:numPr>
      </w:pPr>
      <w:r>
        <w:t xml:space="preserve">9 </w:t>
      </w:r>
      <w:r w:rsidR="0030722F">
        <w:t xml:space="preserve">(8%) </w:t>
      </w:r>
      <w:r>
        <w:t>Services access income from only one source.</w:t>
      </w:r>
    </w:p>
    <w:p w:rsidR="00430605" w:rsidRPr="00625A57" w:rsidRDefault="00D97965" w:rsidP="00163E54">
      <w:pPr>
        <w:pStyle w:val="ListParagraph"/>
        <w:numPr>
          <w:ilvl w:val="0"/>
          <w:numId w:val="2"/>
        </w:numPr>
      </w:pPr>
      <w:r>
        <w:t>5</w:t>
      </w:r>
      <w:r w:rsidR="00430605">
        <w:t xml:space="preserve"> </w:t>
      </w:r>
      <w:r w:rsidR="0030722F">
        <w:t xml:space="preserve">(4%) </w:t>
      </w:r>
      <w:r w:rsidR="00430605">
        <w:t>Services do not access any other source of income.</w:t>
      </w:r>
    </w:p>
    <w:p w:rsidR="00CE3BE7" w:rsidRPr="00D620BB" w:rsidRDefault="00D95F38" w:rsidP="00E33A31">
      <w:pPr>
        <w:pStyle w:val="NoSpacing"/>
        <w:rPr>
          <w:b/>
          <w:u w:val="single"/>
        </w:rPr>
      </w:pPr>
      <w:r w:rsidRPr="00D620BB">
        <w:rPr>
          <w:b/>
          <w:u w:val="single"/>
        </w:rPr>
        <w:t>Some considerations</w:t>
      </w:r>
    </w:p>
    <w:p w:rsidR="00D95F38" w:rsidRPr="00E33A31" w:rsidRDefault="00D95F38" w:rsidP="00D95F38">
      <w:pPr>
        <w:pStyle w:val="ListParagraph"/>
        <w:numPr>
          <w:ilvl w:val="0"/>
          <w:numId w:val="3"/>
        </w:numPr>
      </w:pPr>
      <w:r w:rsidRPr="00E33A31">
        <w:t>FMS can share best practice and enable those services that are most effective in securing income to link with other services as mentors.</w:t>
      </w:r>
    </w:p>
    <w:p w:rsidR="00CE3BE7" w:rsidRPr="00E33A31" w:rsidRDefault="00D95F38" w:rsidP="00CE3BE7">
      <w:pPr>
        <w:pStyle w:val="ListParagraph"/>
        <w:numPr>
          <w:ilvl w:val="0"/>
          <w:numId w:val="3"/>
        </w:numPr>
      </w:pPr>
      <w:r w:rsidRPr="00E33A31">
        <w:t>S</w:t>
      </w:r>
      <w:r w:rsidR="00CE3BE7" w:rsidRPr="00E33A31">
        <w:t xml:space="preserve">hould </w:t>
      </w:r>
      <w:r w:rsidRPr="00E33A31">
        <w:t xml:space="preserve">LAs </w:t>
      </w:r>
      <w:r w:rsidR="00CE3BE7" w:rsidRPr="00E33A31">
        <w:t xml:space="preserve">look at securing funding from all three sources: parents; schools; </w:t>
      </w:r>
      <w:r w:rsidRPr="00E33A31">
        <w:t xml:space="preserve">other? What about those </w:t>
      </w:r>
      <w:r w:rsidR="004C4091">
        <w:t xml:space="preserve">services </w:t>
      </w:r>
      <w:r w:rsidRPr="00E33A31">
        <w:t>that have cut right back on service delivery?</w:t>
      </w:r>
    </w:p>
    <w:p w:rsidR="00CE3BE7" w:rsidRPr="00E33A31" w:rsidRDefault="00D95F38" w:rsidP="00CE3BE7">
      <w:pPr>
        <w:pStyle w:val="ListParagraph"/>
        <w:numPr>
          <w:ilvl w:val="0"/>
          <w:numId w:val="3"/>
        </w:numPr>
      </w:pPr>
      <w:r w:rsidRPr="00E33A31">
        <w:t>S</w:t>
      </w:r>
      <w:r w:rsidR="00CE3BE7" w:rsidRPr="00E33A31">
        <w:t>hould the Government’s contribution to their o</w:t>
      </w:r>
      <w:r w:rsidRPr="00E33A31">
        <w:t>verall budget to a maximum of x</w:t>
      </w:r>
      <w:r w:rsidR="00CE3BE7" w:rsidRPr="00E33A31">
        <w:t>%.</w:t>
      </w:r>
      <w:r w:rsidRPr="00E33A31">
        <w:t xml:space="preserve"> What about those </w:t>
      </w:r>
      <w:r w:rsidR="004C4091">
        <w:t xml:space="preserve">services </w:t>
      </w:r>
      <w:r w:rsidRPr="00E33A31">
        <w:t>that have cut right back on service delivery?</w:t>
      </w:r>
    </w:p>
    <w:p w:rsidR="00625A57" w:rsidRPr="00E33A31" w:rsidRDefault="00D95F38" w:rsidP="00CE3BE7">
      <w:pPr>
        <w:pStyle w:val="ListParagraph"/>
        <w:numPr>
          <w:ilvl w:val="0"/>
          <w:numId w:val="3"/>
        </w:numPr>
      </w:pPr>
      <w:r w:rsidRPr="00E33A31">
        <w:t>Should LAs</w:t>
      </w:r>
      <w:r w:rsidR="00625A57" w:rsidRPr="00E33A31">
        <w:t xml:space="preserve"> that do not make any contribution </w:t>
      </w:r>
      <w:r w:rsidRPr="00E33A31">
        <w:t>(financial or in kind – though if</w:t>
      </w:r>
      <w:r w:rsidR="00E33A31">
        <w:t xml:space="preserve"> staff are employed the LA still carries</w:t>
      </w:r>
      <w:r w:rsidRPr="00E33A31">
        <w:t xml:space="preserve"> the liability)</w:t>
      </w:r>
      <w:r w:rsidR="007E7239">
        <w:t xml:space="preserve"> have a veto on policy?</w:t>
      </w:r>
      <w:r w:rsidRPr="00E33A31">
        <w:t xml:space="preserve"> S</w:t>
      </w:r>
      <w:r w:rsidR="00625A57" w:rsidRPr="00E33A31">
        <w:t xml:space="preserve">hould </w:t>
      </w:r>
      <w:r w:rsidRPr="00E33A31">
        <w:t xml:space="preserve">an </w:t>
      </w:r>
      <w:r w:rsidR="00625A57" w:rsidRPr="00E33A31">
        <w:t xml:space="preserve">attempt </w:t>
      </w:r>
      <w:r w:rsidRPr="00E33A31">
        <w:t xml:space="preserve">be made </w:t>
      </w:r>
      <w:r w:rsidR="00625A57" w:rsidRPr="00E33A31">
        <w:t>to put a figure on this ‘in kind’ support and factor that in</w:t>
      </w:r>
      <w:r w:rsidR="007E7239">
        <w:t xml:space="preserve"> to calculations locally?</w:t>
      </w:r>
    </w:p>
    <w:p w:rsidR="00D620BB" w:rsidRDefault="00D620BB" w:rsidP="00E33A31">
      <w:pPr>
        <w:pStyle w:val="NoSpacing"/>
        <w:rPr>
          <w:b/>
          <w:u w:val="single"/>
        </w:rPr>
      </w:pPr>
    </w:p>
    <w:p w:rsidR="00087829" w:rsidRDefault="00087829" w:rsidP="00D620BB">
      <w:pPr>
        <w:pStyle w:val="NoSpacing"/>
        <w:rPr>
          <w:sz w:val="21"/>
          <w:szCs w:val="21"/>
        </w:rPr>
      </w:pPr>
    </w:p>
    <w:p w:rsidR="00087829" w:rsidRDefault="00087829" w:rsidP="00D620BB">
      <w:pPr>
        <w:pStyle w:val="NoSpacing"/>
        <w:rPr>
          <w:sz w:val="21"/>
          <w:szCs w:val="21"/>
        </w:rPr>
      </w:pPr>
    </w:p>
    <w:p w:rsidR="00D620BB" w:rsidRPr="00087829" w:rsidRDefault="00D620BB" w:rsidP="00D620BB">
      <w:pPr>
        <w:pStyle w:val="NoSpacing"/>
        <w:rPr>
          <w:sz w:val="21"/>
          <w:szCs w:val="21"/>
        </w:rPr>
      </w:pPr>
      <w:r w:rsidRPr="00087829">
        <w:rPr>
          <w:sz w:val="21"/>
          <w:szCs w:val="21"/>
        </w:rPr>
        <w:t>This interim update is based on the 123 (84%) activity responses received to date.</w:t>
      </w:r>
    </w:p>
    <w:p w:rsidR="009A48CC" w:rsidRPr="00087829" w:rsidRDefault="009A48CC" w:rsidP="00E33A31">
      <w:pPr>
        <w:pStyle w:val="NoSpacing"/>
        <w:rPr>
          <w:b/>
          <w:sz w:val="21"/>
          <w:szCs w:val="21"/>
          <w:u w:val="single"/>
        </w:rPr>
      </w:pPr>
    </w:p>
    <w:p w:rsidR="00D620BB" w:rsidRPr="00087829" w:rsidRDefault="00D620BB" w:rsidP="00E33A31">
      <w:pPr>
        <w:pStyle w:val="NoSpacing"/>
        <w:rPr>
          <w:b/>
          <w:sz w:val="21"/>
          <w:szCs w:val="21"/>
          <w:u w:val="single"/>
        </w:rPr>
      </w:pPr>
      <w:r w:rsidRPr="00087829">
        <w:rPr>
          <w:b/>
          <w:sz w:val="21"/>
          <w:szCs w:val="21"/>
          <w:u w:val="single"/>
        </w:rPr>
        <w:lastRenderedPageBreak/>
        <w:t>Activity</w:t>
      </w:r>
    </w:p>
    <w:p w:rsidR="008F634A" w:rsidRPr="00087829" w:rsidRDefault="008F634A" w:rsidP="009A48CC">
      <w:pPr>
        <w:rPr>
          <w:sz w:val="21"/>
          <w:szCs w:val="21"/>
        </w:rPr>
      </w:pPr>
      <w:r w:rsidRPr="00087829">
        <w:rPr>
          <w:sz w:val="21"/>
          <w:szCs w:val="21"/>
        </w:rPr>
        <w:t xml:space="preserve">Figures in [] represent the number of </w:t>
      </w:r>
      <w:r w:rsidR="004C30E8" w:rsidRPr="00087829">
        <w:rPr>
          <w:sz w:val="21"/>
          <w:szCs w:val="21"/>
        </w:rPr>
        <w:t>Services</w:t>
      </w:r>
      <w:r w:rsidRPr="00087829">
        <w:rPr>
          <w:sz w:val="21"/>
          <w:szCs w:val="21"/>
        </w:rPr>
        <w:t xml:space="preserve"> that use the MEG to fund these activities fully or in part.</w:t>
      </w:r>
      <w:r w:rsidR="00233935" w:rsidRPr="00087829">
        <w:rPr>
          <w:sz w:val="21"/>
          <w:szCs w:val="21"/>
        </w:rPr>
        <w:t xml:space="preserve"> Percentages are expressed as a proportion of all responses.</w:t>
      </w:r>
    </w:p>
    <w:p w:rsidR="008F634A" w:rsidRPr="00087829" w:rsidRDefault="008F634A" w:rsidP="009A48CC">
      <w:pPr>
        <w:rPr>
          <w:b/>
          <w:sz w:val="21"/>
          <w:szCs w:val="21"/>
          <w:u w:val="single"/>
        </w:rPr>
      </w:pPr>
      <w:r w:rsidRPr="00087829">
        <w:rPr>
          <w:sz w:val="21"/>
          <w:szCs w:val="21"/>
        </w:rPr>
        <w:t>Fi</w:t>
      </w:r>
      <w:r w:rsidR="00233935" w:rsidRPr="00087829">
        <w:rPr>
          <w:sz w:val="21"/>
          <w:szCs w:val="21"/>
        </w:rPr>
        <w:t>gures in {} represent the percentage</w:t>
      </w:r>
      <w:r w:rsidRPr="00087829">
        <w:rPr>
          <w:sz w:val="21"/>
          <w:szCs w:val="21"/>
        </w:rPr>
        <w:t xml:space="preserve"> of those </w:t>
      </w:r>
      <w:r w:rsidR="004C30E8" w:rsidRPr="00087829">
        <w:rPr>
          <w:sz w:val="21"/>
          <w:szCs w:val="21"/>
        </w:rPr>
        <w:t>Services</w:t>
      </w:r>
      <w:r w:rsidRPr="00087829">
        <w:rPr>
          <w:sz w:val="21"/>
          <w:szCs w:val="21"/>
        </w:rPr>
        <w:t xml:space="preserve"> that offer a particular activity that use the MEG to fund those activities fully or in part.</w:t>
      </w:r>
      <w:r w:rsidR="00233935" w:rsidRPr="00087829">
        <w:rPr>
          <w:sz w:val="21"/>
          <w:szCs w:val="21"/>
        </w:rPr>
        <w:t xml:space="preserve"> </w:t>
      </w:r>
    </w:p>
    <w:p w:rsidR="009A48CC" w:rsidRPr="00087829" w:rsidRDefault="00BF4156" w:rsidP="009A48CC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087829">
        <w:rPr>
          <w:sz w:val="21"/>
          <w:szCs w:val="21"/>
        </w:rPr>
        <w:t>All 123</w:t>
      </w:r>
      <w:r w:rsidR="009A48CC" w:rsidRPr="00087829">
        <w:rPr>
          <w:sz w:val="21"/>
          <w:szCs w:val="21"/>
        </w:rPr>
        <w:t xml:space="preserve"> </w:t>
      </w:r>
      <w:r w:rsidR="004C30E8" w:rsidRPr="00087829">
        <w:rPr>
          <w:sz w:val="21"/>
          <w:szCs w:val="21"/>
        </w:rPr>
        <w:t>Services</w:t>
      </w:r>
      <w:r w:rsidR="009A48CC" w:rsidRPr="00087829">
        <w:rPr>
          <w:sz w:val="21"/>
          <w:szCs w:val="21"/>
        </w:rPr>
        <w:t xml:space="preserve"> offer</w:t>
      </w:r>
      <w:r w:rsidR="008F634A" w:rsidRPr="00087829">
        <w:rPr>
          <w:sz w:val="21"/>
          <w:szCs w:val="21"/>
        </w:rPr>
        <w:t xml:space="preserve"> the following activities:</w:t>
      </w:r>
    </w:p>
    <w:p w:rsidR="009A48CC" w:rsidRPr="00087829" w:rsidRDefault="009A48CC" w:rsidP="009A48CC">
      <w:pPr>
        <w:pStyle w:val="ListParagraph"/>
        <w:numPr>
          <w:ilvl w:val="1"/>
          <w:numId w:val="4"/>
        </w:numPr>
        <w:rPr>
          <w:sz w:val="21"/>
          <w:szCs w:val="21"/>
        </w:rPr>
      </w:pPr>
      <w:r w:rsidRPr="00087829">
        <w:rPr>
          <w:sz w:val="21"/>
          <w:szCs w:val="21"/>
        </w:rPr>
        <w:t>Whole c</w:t>
      </w:r>
      <w:r w:rsidR="004C30E8" w:rsidRPr="00087829">
        <w:rPr>
          <w:sz w:val="21"/>
          <w:szCs w:val="21"/>
        </w:rPr>
        <w:t>lass</w:t>
      </w:r>
      <w:r w:rsidR="00827808" w:rsidRPr="00087829">
        <w:rPr>
          <w:sz w:val="21"/>
          <w:szCs w:val="21"/>
        </w:rPr>
        <w:t xml:space="preserve"> tuition; [120; 98%]</w:t>
      </w:r>
    </w:p>
    <w:p w:rsidR="009A48CC" w:rsidRPr="00087829" w:rsidRDefault="00827808" w:rsidP="009A48CC">
      <w:pPr>
        <w:pStyle w:val="ListParagraph"/>
        <w:numPr>
          <w:ilvl w:val="1"/>
          <w:numId w:val="4"/>
        </w:numPr>
        <w:rPr>
          <w:sz w:val="21"/>
          <w:szCs w:val="21"/>
        </w:rPr>
      </w:pPr>
      <w:r w:rsidRPr="00087829">
        <w:rPr>
          <w:sz w:val="21"/>
          <w:szCs w:val="21"/>
        </w:rPr>
        <w:t>Regular Ensembles; [116; 94%]</w:t>
      </w:r>
    </w:p>
    <w:p w:rsidR="00827808" w:rsidRPr="00087829" w:rsidRDefault="00827808" w:rsidP="00827808">
      <w:pPr>
        <w:pStyle w:val="ListParagraph"/>
        <w:numPr>
          <w:ilvl w:val="1"/>
          <w:numId w:val="4"/>
        </w:numPr>
        <w:rPr>
          <w:sz w:val="21"/>
          <w:szCs w:val="21"/>
        </w:rPr>
      </w:pPr>
      <w:r w:rsidRPr="00087829">
        <w:rPr>
          <w:sz w:val="21"/>
          <w:szCs w:val="21"/>
        </w:rPr>
        <w:t>Continuing Professional Development [111; 90%]</w:t>
      </w:r>
    </w:p>
    <w:p w:rsidR="00827808" w:rsidRPr="00087829" w:rsidRDefault="00827808" w:rsidP="00827808">
      <w:pPr>
        <w:pStyle w:val="ListParagraph"/>
        <w:numPr>
          <w:ilvl w:val="1"/>
          <w:numId w:val="4"/>
        </w:numPr>
        <w:rPr>
          <w:sz w:val="21"/>
          <w:szCs w:val="21"/>
        </w:rPr>
      </w:pPr>
      <w:r w:rsidRPr="00087829">
        <w:rPr>
          <w:sz w:val="21"/>
          <w:szCs w:val="21"/>
        </w:rPr>
        <w:t>Performance Management; [109; 89%]</w:t>
      </w:r>
    </w:p>
    <w:p w:rsidR="009A48CC" w:rsidRPr="00087829" w:rsidRDefault="009A48CC" w:rsidP="009A48CC">
      <w:pPr>
        <w:pStyle w:val="ListParagraph"/>
        <w:numPr>
          <w:ilvl w:val="1"/>
          <w:numId w:val="4"/>
        </w:numPr>
        <w:rPr>
          <w:sz w:val="21"/>
          <w:szCs w:val="21"/>
        </w:rPr>
      </w:pPr>
      <w:r w:rsidRPr="00087829">
        <w:rPr>
          <w:sz w:val="21"/>
          <w:szCs w:val="21"/>
        </w:rPr>
        <w:t>Regular Perfor</w:t>
      </w:r>
      <w:r w:rsidR="00827808" w:rsidRPr="00087829">
        <w:rPr>
          <w:sz w:val="21"/>
          <w:szCs w:val="21"/>
        </w:rPr>
        <w:t>mance Opportunities; [99; 80%]</w:t>
      </w:r>
    </w:p>
    <w:p w:rsidR="00827808" w:rsidRPr="00087829" w:rsidRDefault="00827808" w:rsidP="00827808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087829">
        <w:rPr>
          <w:sz w:val="21"/>
          <w:szCs w:val="21"/>
        </w:rPr>
        <w:t>122 (99%) Services offer Festivals or joint massed events; [91; 74%]{75%}</w:t>
      </w:r>
    </w:p>
    <w:p w:rsidR="00827808" w:rsidRPr="00087829" w:rsidRDefault="00827808" w:rsidP="00827808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087829">
        <w:rPr>
          <w:sz w:val="21"/>
          <w:szCs w:val="21"/>
        </w:rPr>
        <w:t>119 (97%) Offer Small Group Tuition [96; 78%]{81%}</w:t>
      </w:r>
    </w:p>
    <w:p w:rsidR="00827808" w:rsidRPr="00087829" w:rsidRDefault="00827808" w:rsidP="008F634A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087829">
        <w:rPr>
          <w:sz w:val="21"/>
          <w:szCs w:val="21"/>
        </w:rPr>
        <w:t>118 (96%) Offer</w:t>
      </w:r>
    </w:p>
    <w:p w:rsidR="00827808" w:rsidRPr="00087829" w:rsidRDefault="00827808" w:rsidP="00827808">
      <w:pPr>
        <w:pStyle w:val="ListParagraph"/>
        <w:numPr>
          <w:ilvl w:val="1"/>
          <w:numId w:val="4"/>
        </w:numPr>
        <w:rPr>
          <w:sz w:val="21"/>
          <w:szCs w:val="21"/>
        </w:rPr>
      </w:pPr>
      <w:r w:rsidRPr="00087829">
        <w:rPr>
          <w:sz w:val="21"/>
          <w:szCs w:val="21"/>
        </w:rPr>
        <w:t>Regular large group tuition [110; 89%]{93%}</w:t>
      </w:r>
    </w:p>
    <w:p w:rsidR="00827808" w:rsidRPr="00087829" w:rsidRDefault="0008448D" w:rsidP="00827808">
      <w:pPr>
        <w:pStyle w:val="ListParagraph"/>
        <w:numPr>
          <w:ilvl w:val="1"/>
          <w:numId w:val="4"/>
        </w:numPr>
        <w:rPr>
          <w:sz w:val="21"/>
          <w:szCs w:val="21"/>
        </w:rPr>
      </w:pPr>
      <w:r w:rsidRPr="00087829">
        <w:rPr>
          <w:sz w:val="21"/>
          <w:szCs w:val="21"/>
        </w:rPr>
        <w:t>Projects [85; 69%]{72%}</w:t>
      </w:r>
    </w:p>
    <w:p w:rsidR="0008448D" w:rsidRPr="00087829" w:rsidRDefault="0008448D" w:rsidP="00827808">
      <w:pPr>
        <w:pStyle w:val="ListParagraph"/>
        <w:numPr>
          <w:ilvl w:val="1"/>
          <w:numId w:val="4"/>
        </w:numPr>
        <w:rPr>
          <w:sz w:val="21"/>
          <w:szCs w:val="21"/>
        </w:rPr>
      </w:pPr>
      <w:r w:rsidRPr="00087829">
        <w:rPr>
          <w:sz w:val="21"/>
          <w:szCs w:val="21"/>
        </w:rPr>
        <w:t>Workshops [75; 61%]{64%}</w:t>
      </w:r>
    </w:p>
    <w:p w:rsidR="0008448D" w:rsidRPr="00087829" w:rsidRDefault="0008448D" w:rsidP="0008448D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087829">
        <w:rPr>
          <w:sz w:val="21"/>
          <w:szCs w:val="21"/>
        </w:rPr>
        <w:t>115 (93%) provide access to exams [37; 30%]{32%}</w:t>
      </w:r>
    </w:p>
    <w:p w:rsidR="0008448D" w:rsidRPr="00087829" w:rsidRDefault="00827808" w:rsidP="0008448D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087829">
        <w:rPr>
          <w:sz w:val="21"/>
          <w:szCs w:val="21"/>
        </w:rPr>
        <w:t>113</w:t>
      </w:r>
      <w:r w:rsidR="0008448D" w:rsidRPr="00087829">
        <w:rPr>
          <w:sz w:val="21"/>
          <w:szCs w:val="21"/>
        </w:rPr>
        <w:t xml:space="preserve"> (92%) provide regular individual tuition [81; 66%]{72%}</w:t>
      </w:r>
    </w:p>
    <w:p w:rsidR="0008448D" w:rsidRPr="00087829" w:rsidRDefault="00827808" w:rsidP="008F634A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087829">
        <w:rPr>
          <w:sz w:val="21"/>
          <w:szCs w:val="21"/>
        </w:rPr>
        <w:t>112</w:t>
      </w:r>
      <w:r w:rsidR="0008448D" w:rsidRPr="00087829">
        <w:rPr>
          <w:sz w:val="21"/>
          <w:szCs w:val="21"/>
        </w:rPr>
        <w:t xml:space="preserve"> Offer</w:t>
      </w:r>
    </w:p>
    <w:p w:rsidR="0008448D" w:rsidRPr="00087829" w:rsidRDefault="0008448D" w:rsidP="0008448D">
      <w:pPr>
        <w:pStyle w:val="ListParagraph"/>
        <w:numPr>
          <w:ilvl w:val="1"/>
          <w:numId w:val="4"/>
        </w:numPr>
        <w:rPr>
          <w:sz w:val="21"/>
          <w:szCs w:val="21"/>
        </w:rPr>
      </w:pPr>
      <w:r w:rsidRPr="00087829">
        <w:rPr>
          <w:sz w:val="21"/>
          <w:szCs w:val="21"/>
        </w:rPr>
        <w:t>Provision for Gifted and Talented [95; 77%]{85%}</w:t>
      </w:r>
    </w:p>
    <w:p w:rsidR="00827808" w:rsidRPr="00087829" w:rsidRDefault="0008448D" w:rsidP="0008448D">
      <w:pPr>
        <w:pStyle w:val="ListParagraph"/>
        <w:numPr>
          <w:ilvl w:val="1"/>
          <w:numId w:val="4"/>
        </w:numPr>
        <w:rPr>
          <w:sz w:val="21"/>
          <w:szCs w:val="21"/>
        </w:rPr>
      </w:pPr>
      <w:r w:rsidRPr="00087829">
        <w:rPr>
          <w:sz w:val="21"/>
          <w:szCs w:val="21"/>
        </w:rPr>
        <w:t>National Curriculum Support [40;33%]{36%}</w:t>
      </w:r>
    </w:p>
    <w:p w:rsidR="00827808" w:rsidRPr="00087829" w:rsidRDefault="00827808" w:rsidP="008F634A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087829">
        <w:rPr>
          <w:sz w:val="21"/>
          <w:szCs w:val="21"/>
        </w:rPr>
        <w:t>108</w:t>
      </w:r>
      <w:r w:rsidR="0008448D" w:rsidRPr="00087829">
        <w:rPr>
          <w:sz w:val="21"/>
          <w:szCs w:val="21"/>
        </w:rPr>
        <w:t xml:space="preserve"> </w:t>
      </w:r>
      <w:r w:rsidR="00B97B0E" w:rsidRPr="00087829">
        <w:rPr>
          <w:sz w:val="21"/>
          <w:szCs w:val="21"/>
        </w:rPr>
        <w:t xml:space="preserve">(88%) </w:t>
      </w:r>
      <w:r w:rsidR="0008448D" w:rsidRPr="00087829">
        <w:rPr>
          <w:sz w:val="21"/>
          <w:szCs w:val="21"/>
        </w:rPr>
        <w:t>have remissions schemes [93; 76%]{86%}</w:t>
      </w:r>
    </w:p>
    <w:p w:rsidR="00827808" w:rsidRPr="00087829" w:rsidRDefault="00827808" w:rsidP="008F634A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087829">
        <w:rPr>
          <w:sz w:val="21"/>
          <w:szCs w:val="21"/>
        </w:rPr>
        <w:t>89</w:t>
      </w:r>
      <w:r w:rsidR="0008448D" w:rsidRPr="00087829">
        <w:rPr>
          <w:sz w:val="21"/>
          <w:szCs w:val="21"/>
        </w:rPr>
        <w:t xml:space="preserve"> </w:t>
      </w:r>
      <w:r w:rsidR="00B97B0E" w:rsidRPr="00087829">
        <w:rPr>
          <w:sz w:val="21"/>
          <w:szCs w:val="21"/>
        </w:rPr>
        <w:t>(72%) provide holiday courses [44; 36%]{49%}</w:t>
      </w:r>
    </w:p>
    <w:p w:rsidR="00827808" w:rsidRPr="00087829" w:rsidRDefault="00827808" w:rsidP="008F634A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087829">
        <w:rPr>
          <w:sz w:val="21"/>
          <w:szCs w:val="21"/>
        </w:rPr>
        <w:t>84</w:t>
      </w:r>
      <w:r w:rsidR="00B97B0E" w:rsidRPr="00087829">
        <w:rPr>
          <w:sz w:val="21"/>
          <w:szCs w:val="21"/>
        </w:rPr>
        <w:t xml:space="preserve"> (68%) offer concert tours [20; 16%]{24%}</w:t>
      </w:r>
    </w:p>
    <w:p w:rsidR="00827808" w:rsidRPr="00087829" w:rsidRDefault="00827808" w:rsidP="008F634A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087829">
        <w:rPr>
          <w:sz w:val="21"/>
          <w:szCs w:val="21"/>
        </w:rPr>
        <w:t>83</w:t>
      </w:r>
      <w:r w:rsidR="00B97B0E" w:rsidRPr="00087829">
        <w:rPr>
          <w:sz w:val="21"/>
          <w:szCs w:val="21"/>
        </w:rPr>
        <w:t xml:space="preserve"> (67%) provide early years programmes [46; 37%]{55%}</w:t>
      </w:r>
    </w:p>
    <w:p w:rsidR="00824568" w:rsidRPr="00087829" w:rsidRDefault="00975235" w:rsidP="00C153D7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087829">
        <w:rPr>
          <w:sz w:val="21"/>
          <w:szCs w:val="21"/>
        </w:rPr>
        <w:t xml:space="preserve">Other uses of MEG </w:t>
      </w:r>
      <w:r w:rsidR="00E83CDB" w:rsidRPr="00087829">
        <w:rPr>
          <w:sz w:val="21"/>
          <w:szCs w:val="21"/>
        </w:rPr>
        <w:t>included:</w:t>
      </w:r>
    </w:p>
    <w:p w:rsidR="00824568" w:rsidRPr="00087829" w:rsidRDefault="00824568" w:rsidP="00824568">
      <w:pPr>
        <w:pStyle w:val="ListParagraph"/>
        <w:numPr>
          <w:ilvl w:val="1"/>
          <w:numId w:val="4"/>
        </w:numPr>
        <w:rPr>
          <w:sz w:val="21"/>
          <w:szCs w:val="21"/>
        </w:rPr>
      </w:pPr>
      <w:r w:rsidRPr="00087829">
        <w:rPr>
          <w:sz w:val="21"/>
          <w:szCs w:val="21"/>
        </w:rPr>
        <w:t>equipment including</w:t>
      </w:r>
      <w:r w:rsidR="00975235" w:rsidRPr="00087829">
        <w:rPr>
          <w:sz w:val="21"/>
          <w:szCs w:val="21"/>
        </w:rPr>
        <w:t xml:space="preserve"> instrument purchase</w:t>
      </w:r>
      <w:r w:rsidR="00AA3BB5" w:rsidRPr="00087829">
        <w:rPr>
          <w:sz w:val="21"/>
          <w:szCs w:val="21"/>
        </w:rPr>
        <w:t>,</w:t>
      </w:r>
      <w:r w:rsidR="00975235" w:rsidRPr="00087829">
        <w:rPr>
          <w:sz w:val="21"/>
          <w:szCs w:val="21"/>
        </w:rPr>
        <w:t xml:space="preserve"> maintenance</w:t>
      </w:r>
      <w:r w:rsidR="00AA3BB5" w:rsidRPr="00087829">
        <w:rPr>
          <w:sz w:val="21"/>
          <w:szCs w:val="21"/>
        </w:rPr>
        <w:t xml:space="preserve"> and replacement</w:t>
      </w:r>
      <w:r w:rsidR="004327AC" w:rsidRPr="00087829">
        <w:rPr>
          <w:sz w:val="21"/>
          <w:szCs w:val="21"/>
        </w:rPr>
        <w:t xml:space="preserve"> </w:t>
      </w:r>
      <w:r w:rsidRPr="00087829">
        <w:rPr>
          <w:sz w:val="21"/>
          <w:szCs w:val="21"/>
        </w:rPr>
        <w:t xml:space="preserve">and other </w:t>
      </w:r>
      <w:r w:rsidR="00AA3BB5" w:rsidRPr="00087829">
        <w:rPr>
          <w:sz w:val="21"/>
          <w:szCs w:val="21"/>
        </w:rPr>
        <w:t xml:space="preserve">music education </w:t>
      </w:r>
      <w:r w:rsidRPr="00087829">
        <w:rPr>
          <w:sz w:val="21"/>
          <w:szCs w:val="21"/>
        </w:rPr>
        <w:t>resources</w:t>
      </w:r>
      <w:r w:rsidR="00975235" w:rsidRPr="00087829">
        <w:rPr>
          <w:sz w:val="21"/>
          <w:szCs w:val="21"/>
        </w:rPr>
        <w:t xml:space="preserve">; </w:t>
      </w:r>
    </w:p>
    <w:p w:rsidR="00824568" w:rsidRPr="00087829" w:rsidRDefault="00824568" w:rsidP="00824568">
      <w:pPr>
        <w:pStyle w:val="ListParagraph"/>
        <w:numPr>
          <w:ilvl w:val="1"/>
          <w:numId w:val="4"/>
        </w:numPr>
        <w:rPr>
          <w:sz w:val="21"/>
          <w:szCs w:val="21"/>
        </w:rPr>
      </w:pPr>
      <w:r w:rsidRPr="00087829">
        <w:rPr>
          <w:sz w:val="21"/>
          <w:szCs w:val="21"/>
        </w:rPr>
        <w:t xml:space="preserve">management, </w:t>
      </w:r>
      <w:r w:rsidR="004327AC" w:rsidRPr="00087829">
        <w:rPr>
          <w:sz w:val="21"/>
          <w:szCs w:val="21"/>
        </w:rPr>
        <w:t xml:space="preserve">administration and general office </w:t>
      </w:r>
      <w:r w:rsidRPr="00087829">
        <w:rPr>
          <w:sz w:val="21"/>
          <w:szCs w:val="21"/>
        </w:rPr>
        <w:t xml:space="preserve">staff </w:t>
      </w:r>
      <w:r w:rsidR="004327AC" w:rsidRPr="00087829">
        <w:rPr>
          <w:sz w:val="21"/>
          <w:szCs w:val="21"/>
        </w:rPr>
        <w:t>costs</w:t>
      </w:r>
      <w:r w:rsidRPr="00087829">
        <w:rPr>
          <w:sz w:val="21"/>
          <w:szCs w:val="21"/>
        </w:rPr>
        <w:t>;</w:t>
      </w:r>
    </w:p>
    <w:p w:rsidR="00FA1105" w:rsidRPr="00087829" w:rsidRDefault="00824568" w:rsidP="00824568">
      <w:pPr>
        <w:pStyle w:val="ListParagraph"/>
        <w:numPr>
          <w:ilvl w:val="1"/>
          <w:numId w:val="4"/>
        </w:numPr>
        <w:rPr>
          <w:sz w:val="21"/>
          <w:szCs w:val="21"/>
        </w:rPr>
      </w:pPr>
      <w:r w:rsidRPr="00087829">
        <w:rPr>
          <w:sz w:val="21"/>
          <w:szCs w:val="21"/>
        </w:rPr>
        <w:t xml:space="preserve">buildings for office, rehearsal and storage; </w:t>
      </w:r>
      <w:r w:rsidR="004327AC" w:rsidRPr="00087829">
        <w:rPr>
          <w:sz w:val="21"/>
          <w:szCs w:val="21"/>
        </w:rPr>
        <w:t xml:space="preserve"> </w:t>
      </w:r>
    </w:p>
    <w:p w:rsidR="00AA3BB5" w:rsidRPr="00087829" w:rsidRDefault="00AA3BB5" w:rsidP="00824568">
      <w:pPr>
        <w:pStyle w:val="ListParagraph"/>
        <w:numPr>
          <w:ilvl w:val="1"/>
          <w:numId w:val="4"/>
        </w:numPr>
        <w:rPr>
          <w:sz w:val="21"/>
          <w:szCs w:val="21"/>
        </w:rPr>
      </w:pPr>
      <w:r w:rsidRPr="00087829">
        <w:rPr>
          <w:sz w:val="21"/>
          <w:szCs w:val="21"/>
        </w:rPr>
        <w:t>Administrative equipment costs and advertising.</w:t>
      </w:r>
    </w:p>
    <w:p w:rsidR="00FA1105" w:rsidRPr="00087829" w:rsidRDefault="00BF4156" w:rsidP="00BF4156">
      <w:pPr>
        <w:pStyle w:val="NoSpacing"/>
        <w:rPr>
          <w:b/>
          <w:sz w:val="21"/>
          <w:szCs w:val="21"/>
          <w:u w:val="single"/>
        </w:rPr>
      </w:pPr>
      <w:r w:rsidRPr="00087829">
        <w:rPr>
          <w:b/>
          <w:sz w:val="21"/>
          <w:szCs w:val="21"/>
          <w:u w:val="single"/>
        </w:rPr>
        <w:t>Some considerations</w:t>
      </w:r>
    </w:p>
    <w:p w:rsidR="00FA1105" w:rsidRPr="00087829" w:rsidRDefault="00AA3BB5" w:rsidP="00E91E0C">
      <w:pPr>
        <w:pStyle w:val="ListParagraph"/>
        <w:numPr>
          <w:ilvl w:val="0"/>
          <w:numId w:val="5"/>
        </w:numPr>
        <w:rPr>
          <w:sz w:val="21"/>
          <w:szCs w:val="21"/>
          <w:u w:val="single"/>
        </w:rPr>
      </w:pPr>
      <w:r w:rsidRPr="00087829">
        <w:rPr>
          <w:sz w:val="21"/>
          <w:szCs w:val="21"/>
        </w:rPr>
        <w:t xml:space="preserve">Should some of the above </w:t>
      </w:r>
      <w:r w:rsidR="00387D3C" w:rsidRPr="00087829">
        <w:rPr>
          <w:sz w:val="21"/>
          <w:szCs w:val="21"/>
        </w:rPr>
        <w:t xml:space="preserve">activities </w:t>
      </w:r>
      <w:r w:rsidR="00E91E0C" w:rsidRPr="00087829">
        <w:rPr>
          <w:sz w:val="21"/>
          <w:szCs w:val="21"/>
        </w:rPr>
        <w:t xml:space="preserve">form a </w:t>
      </w:r>
      <w:r w:rsidR="00E91E0C" w:rsidRPr="00087829">
        <w:rPr>
          <w:b/>
          <w:i/>
          <w:sz w:val="21"/>
          <w:szCs w:val="21"/>
          <w:u w:val="single"/>
        </w:rPr>
        <w:t>requirement</w:t>
      </w:r>
      <w:r w:rsidR="00E91E0C" w:rsidRPr="00087829">
        <w:rPr>
          <w:sz w:val="21"/>
          <w:szCs w:val="21"/>
        </w:rPr>
        <w:t xml:space="preserve"> on those successfully bid</w:t>
      </w:r>
      <w:r w:rsidR="00387D3C" w:rsidRPr="00087829">
        <w:rPr>
          <w:sz w:val="21"/>
          <w:szCs w:val="21"/>
        </w:rPr>
        <w:t>ding for the new grant in 2012)?</w:t>
      </w:r>
    </w:p>
    <w:p w:rsidR="00E91E0C" w:rsidRPr="002874C6" w:rsidRDefault="00E91E0C" w:rsidP="002874C6">
      <w:pPr>
        <w:pStyle w:val="ListParagraph"/>
        <w:numPr>
          <w:ilvl w:val="0"/>
          <w:numId w:val="5"/>
        </w:numPr>
        <w:rPr>
          <w:sz w:val="21"/>
          <w:szCs w:val="21"/>
          <w:u w:val="single"/>
        </w:rPr>
      </w:pPr>
      <w:r w:rsidRPr="00087829">
        <w:rPr>
          <w:sz w:val="21"/>
          <w:szCs w:val="21"/>
        </w:rPr>
        <w:t xml:space="preserve">Should </w:t>
      </w:r>
      <w:r w:rsidR="0097287D" w:rsidRPr="00087829">
        <w:rPr>
          <w:sz w:val="21"/>
          <w:szCs w:val="21"/>
        </w:rPr>
        <w:t xml:space="preserve">some of the </w:t>
      </w:r>
      <w:r w:rsidRPr="00087829">
        <w:rPr>
          <w:sz w:val="21"/>
          <w:szCs w:val="21"/>
        </w:rPr>
        <w:t xml:space="preserve">activities </w:t>
      </w:r>
      <w:r w:rsidR="0097287D" w:rsidRPr="00087829">
        <w:rPr>
          <w:sz w:val="21"/>
          <w:szCs w:val="21"/>
        </w:rPr>
        <w:t xml:space="preserve">be considered as </w:t>
      </w:r>
      <w:r w:rsidR="0097287D" w:rsidRPr="00087829">
        <w:rPr>
          <w:b/>
          <w:i/>
          <w:sz w:val="21"/>
          <w:szCs w:val="21"/>
          <w:u w:val="single"/>
        </w:rPr>
        <w:t>possible</w:t>
      </w:r>
      <w:r w:rsidR="00F53126">
        <w:rPr>
          <w:sz w:val="21"/>
          <w:szCs w:val="21"/>
        </w:rPr>
        <w:t xml:space="preserve"> </w:t>
      </w:r>
      <w:r w:rsidR="0097287D" w:rsidRPr="00087829">
        <w:rPr>
          <w:sz w:val="21"/>
          <w:szCs w:val="21"/>
        </w:rPr>
        <w:t xml:space="preserve">uses for </w:t>
      </w:r>
      <w:r w:rsidRPr="00087829">
        <w:rPr>
          <w:sz w:val="21"/>
          <w:szCs w:val="21"/>
        </w:rPr>
        <w:t xml:space="preserve">the new grant </w:t>
      </w:r>
      <w:r w:rsidR="0097287D" w:rsidRPr="00087829">
        <w:rPr>
          <w:sz w:val="21"/>
          <w:szCs w:val="21"/>
        </w:rPr>
        <w:t>and should there be</w:t>
      </w:r>
      <w:r w:rsidRPr="00087829">
        <w:rPr>
          <w:sz w:val="21"/>
          <w:szCs w:val="21"/>
        </w:rPr>
        <w:t xml:space="preserve"> any guidelines regarding m</w:t>
      </w:r>
      <w:r w:rsidR="002874C6">
        <w:rPr>
          <w:sz w:val="21"/>
          <w:szCs w:val="21"/>
        </w:rPr>
        <w:t>aximum amounts would be helpful?</w:t>
      </w:r>
      <w:r w:rsidRPr="002874C6">
        <w:rPr>
          <w:sz w:val="21"/>
          <w:szCs w:val="21"/>
        </w:rPr>
        <w:t xml:space="preserve"> (E.g. current targets in the APPA guidance for maximum of 5% of the grant on administration and minimum of 80% on front line delivery).</w:t>
      </w:r>
    </w:p>
    <w:p w:rsidR="00E91E0C" w:rsidRPr="00087829" w:rsidRDefault="00E91E0C" w:rsidP="00E91E0C">
      <w:pPr>
        <w:pStyle w:val="ListParagraph"/>
        <w:numPr>
          <w:ilvl w:val="0"/>
          <w:numId w:val="5"/>
        </w:numPr>
        <w:rPr>
          <w:sz w:val="21"/>
          <w:szCs w:val="21"/>
          <w:u w:val="single"/>
        </w:rPr>
      </w:pPr>
      <w:r w:rsidRPr="00087829">
        <w:rPr>
          <w:sz w:val="21"/>
          <w:szCs w:val="21"/>
        </w:rPr>
        <w:t xml:space="preserve">Should </w:t>
      </w:r>
      <w:r w:rsidR="0097287D" w:rsidRPr="00087829">
        <w:rPr>
          <w:sz w:val="21"/>
          <w:szCs w:val="21"/>
        </w:rPr>
        <w:t>some of the</w:t>
      </w:r>
      <w:r w:rsidRPr="00087829">
        <w:rPr>
          <w:sz w:val="21"/>
          <w:szCs w:val="21"/>
        </w:rPr>
        <w:t xml:space="preserve"> activities </w:t>
      </w:r>
      <w:r w:rsidR="0097287D" w:rsidRPr="00087829">
        <w:rPr>
          <w:sz w:val="21"/>
          <w:szCs w:val="21"/>
        </w:rPr>
        <w:t xml:space="preserve">above </w:t>
      </w:r>
      <w:r w:rsidR="0097287D" w:rsidRPr="00087829">
        <w:rPr>
          <w:b/>
          <w:i/>
          <w:sz w:val="21"/>
          <w:szCs w:val="21"/>
          <w:u w:val="single"/>
        </w:rPr>
        <w:t>not</w:t>
      </w:r>
      <w:r w:rsidR="0097287D" w:rsidRPr="00087829">
        <w:rPr>
          <w:sz w:val="21"/>
          <w:szCs w:val="21"/>
        </w:rPr>
        <w:t xml:space="preserve"> be eligible for the grant and </w:t>
      </w:r>
      <w:r w:rsidRPr="00087829">
        <w:rPr>
          <w:sz w:val="21"/>
          <w:szCs w:val="21"/>
        </w:rPr>
        <w:t xml:space="preserve">should </w:t>
      </w:r>
      <w:r w:rsidR="002874C6">
        <w:rPr>
          <w:sz w:val="21"/>
          <w:szCs w:val="21"/>
        </w:rPr>
        <w:t xml:space="preserve">they </w:t>
      </w:r>
      <w:r w:rsidRPr="00087829">
        <w:rPr>
          <w:sz w:val="21"/>
          <w:szCs w:val="21"/>
        </w:rPr>
        <w:t>be funded through other routes</w:t>
      </w:r>
      <w:bookmarkStart w:id="0" w:name="_GoBack"/>
      <w:bookmarkEnd w:id="0"/>
      <w:r w:rsidR="002874C6">
        <w:rPr>
          <w:sz w:val="21"/>
          <w:szCs w:val="21"/>
        </w:rPr>
        <w:t>?</w:t>
      </w:r>
    </w:p>
    <w:sectPr w:rsidR="00E91E0C" w:rsidRPr="00087829" w:rsidSect="00D80F4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77D" w:rsidRDefault="00A4677D" w:rsidP="00D620BB">
      <w:pPr>
        <w:spacing w:after="0" w:line="240" w:lineRule="auto"/>
      </w:pPr>
      <w:r>
        <w:separator/>
      </w:r>
    </w:p>
  </w:endnote>
  <w:endnote w:type="continuationSeparator" w:id="0">
    <w:p w:rsidR="00A4677D" w:rsidRDefault="00A4677D" w:rsidP="00D6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77D" w:rsidRDefault="00A4677D" w:rsidP="00D620BB">
      <w:pPr>
        <w:spacing w:after="0" w:line="240" w:lineRule="auto"/>
      </w:pPr>
      <w:r>
        <w:separator/>
      </w:r>
    </w:p>
  </w:footnote>
  <w:footnote w:type="continuationSeparator" w:id="0">
    <w:p w:rsidR="00A4677D" w:rsidRDefault="00A4677D" w:rsidP="00D62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829" w:rsidRDefault="00D620BB" w:rsidP="00087829">
    <w:pPr>
      <w:jc w:val="center"/>
      <w:rPr>
        <w:b/>
        <w:sz w:val="28"/>
        <w:szCs w:val="28"/>
      </w:rPr>
    </w:pPr>
    <w:r w:rsidRPr="00163E54">
      <w:rPr>
        <w:b/>
        <w:sz w:val="28"/>
        <w:szCs w:val="28"/>
      </w:rPr>
      <w:t xml:space="preserve">Interim Update on Finance and Activity </w:t>
    </w:r>
    <w:r w:rsidR="00714CA8">
      <w:rPr>
        <w:b/>
        <w:sz w:val="28"/>
        <w:szCs w:val="28"/>
      </w:rPr>
      <w:t>June</w:t>
    </w:r>
    <w:r w:rsidRPr="00163E54">
      <w:rPr>
        <w:b/>
        <w:sz w:val="28"/>
        <w:szCs w:val="28"/>
      </w:rPr>
      <w:t xml:space="preserve"> 2011</w:t>
    </w:r>
  </w:p>
  <w:p w:rsidR="00D620BB" w:rsidRPr="00087829" w:rsidRDefault="00714CA8" w:rsidP="00087829">
    <w:pPr>
      <w:jc w:val="center"/>
      <w:rPr>
        <w:b/>
        <w:sz w:val="28"/>
        <w:szCs w:val="28"/>
      </w:rPr>
    </w:pPr>
    <w:r>
      <w:rPr>
        <w:b/>
      </w:rPr>
      <w:t>2 June</w:t>
    </w:r>
    <w:r w:rsidR="00D620BB" w:rsidRPr="00625A57">
      <w:rPr>
        <w:b/>
      </w:rPr>
      <w:t xml:space="preserve">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0CBA"/>
    <w:multiLevelType w:val="hybridMultilevel"/>
    <w:tmpl w:val="DED880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325F64"/>
    <w:multiLevelType w:val="hybridMultilevel"/>
    <w:tmpl w:val="BA56F5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F07AB"/>
    <w:multiLevelType w:val="hybridMultilevel"/>
    <w:tmpl w:val="BDA63D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C8323B"/>
    <w:multiLevelType w:val="hybridMultilevel"/>
    <w:tmpl w:val="99FCC2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9D40BD"/>
    <w:multiLevelType w:val="hybridMultilevel"/>
    <w:tmpl w:val="84262A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E54"/>
    <w:rsid w:val="00034A1B"/>
    <w:rsid w:val="0008448D"/>
    <w:rsid w:val="00087829"/>
    <w:rsid w:val="000963B5"/>
    <w:rsid w:val="000F1869"/>
    <w:rsid w:val="001303FF"/>
    <w:rsid w:val="00152C0E"/>
    <w:rsid w:val="0016065C"/>
    <w:rsid w:val="00163E54"/>
    <w:rsid w:val="00182AA4"/>
    <w:rsid w:val="00187B0A"/>
    <w:rsid w:val="001D6B11"/>
    <w:rsid w:val="001E4CBC"/>
    <w:rsid w:val="002075CC"/>
    <w:rsid w:val="00233935"/>
    <w:rsid w:val="002874C6"/>
    <w:rsid w:val="0030722F"/>
    <w:rsid w:val="00330C08"/>
    <w:rsid w:val="00387D3C"/>
    <w:rsid w:val="003F0C97"/>
    <w:rsid w:val="00430605"/>
    <w:rsid w:val="004327AC"/>
    <w:rsid w:val="00482A52"/>
    <w:rsid w:val="004C30E8"/>
    <w:rsid w:val="004C4091"/>
    <w:rsid w:val="005013D8"/>
    <w:rsid w:val="005655B4"/>
    <w:rsid w:val="00575349"/>
    <w:rsid w:val="0058061B"/>
    <w:rsid w:val="005A558C"/>
    <w:rsid w:val="00625A57"/>
    <w:rsid w:val="0067423F"/>
    <w:rsid w:val="00675972"/>
    <w:rsid w:val="00713D0A"/>
    <w:rsid w:val="00714CA8"/>
    <w:rsid w:val="00791876"/>
    <w:rsid w:val="00791FE0"/>
    <w:rsid w:val="007E7239"/>
    <w:rsid w:val="007F7AB5"/>
    <w:rsid w:val="00824568"/>
    <w:rsid w:val="00827808"/>
    <w:rsid w:val="008954BD"/>
    <w:rsid w:val="008E6DB8"/>
    <w:rsid w:val="008F634A"/>
    <w:rsid w:val="0097287D"/>
    <w:rsid w:val="00975235"/>
    <w:rsid w:val="009A48CC"/>
    <w:rsid w:val="00A27CD9"/>
    <w:rsid w:val="00A4677D"/>
    <w:rsid w:val="00A561E9"/>
    <w:rsid w:val="00A92D71"/>
    <w:rsid w:val="00AA3BB5"/>
    <w:rsid w:val="00AF2F89"/>
    <w:rsid w:val="00B97B0E"/>
    <w:rsid w:val="00BF4156"/>
    <w:rsid w:val="00C153D7"/>
    <w:rsid w:val="00CE3BE7"/>
    <w:rsid w:val="00D620BB"/>
    <w:rsid w:val="00D7217A"/>
    <w:rsid w:val="00D80F4E"/>
    <w:rsid w:val="00D95F38"/>
    <w:rsid w:val="00D97965"/>
    <w:rsid w:val="00E07462"/>
    <w:rsid w:val="00E33A31"/>
    <w:rsid w:val="00E83CDB"/>
    <w:rsid w:val="00E91E0C"/>
    <w:rsid w:val="00ED3EC3"/>
    <w:rsid w:val="00F26EDA"/>
    <w:rsid w:val="00F51712"/>
    <w:rsid w:val="00F53126"/>
    <w:rsid w:val="00FA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E54"/>
    <w:pPr>
      <w:ind w:left="720"/>
      <w:contextualSpacing/>
    </w:pPr>
  </w:style>
  <w:style w:type="paragraph" w:styleId="NoSpacing">
    <w:name w:val="No Spacing"/>
    <w:uiPriority w:val="1"/>
    <w:qFormat/>
    <w:rsid w:val="00E33A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2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0BB"/>
  </w:style>
  <w:style w:type="paragraph" w:styleId="Footer">
    <w:name w:val="footer"/>
    <w:basedOn w:val="Normal"/>
    <w:link w:val="FooterChar"/>
    <w:uiPriority w:val="99"/>
    <w:semiHidden/>
    <w:unhideWhenUsed/>
    <w:rsid w:val="00D62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20BB"/>
  </w:style>
  <w:style w:type="paragraph" w:styleId="BalloonText">
    <w:name w:val="Balloon Text"/>
    <w:basedOn w:val="Normal"/>
    <w:link w:val="BalloonTextChar"/>
    <w:uiPriority w:val="99"/>
    <w:semiHidden/>
    <w:unhideWhenUsed/>
    <w:rsid w:val="00D6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Hallam</dc:creator>
  <cp:lastModifiedBy>Sarah Adamson</cp:lastModifiedBy>
  <cp:revision>2</cp:revision>
  <cp:lastPrinted>2011-05-31T15:44:00Z</cp:lastPrinted>
  <dcterms:created xsi:type="dcterms:W3CDTF">2011-07-01T13:59:00Z</dcterms:created>
  <dcterms:modified xsi:type="dcterms:W3CDTF">2011-07-01T13:59:00Z</dcterms:modified>
</cp:coreProperties>
</file>